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河北省文安县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直工委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年度部门决算信息公开情况说明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按照《预算法》、《河北省财政厅关于印发&lt;河北省预决算公开操作规程实施细则&gt;的通知》（冀财预[2016]129号）等规定，现将201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年度部门决算公开如下：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420"/>
        <w:jc w:val="both"/>
        <w:rPr>
          <w:rFonts w:hint="eastAsia" w:ascii="黑体" w:hAnsi="Arial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Arial" w:eastAsia="黑体" w:cs="仿宋_GB2312"/>
          <w:color w:val="333333"/>
          <w:sz w:val="32"/>
          <w:szCs w:val="32"/>
          <w:shd w:val="clear" w:color="auto" w:fill="FFFFFF"/>
        </w:rPr>
        <w:t>一、部门职责及机构设置情况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420"/>
        <w:jc w:val="both"/>
        <w:rPr>
          <w:rFonts w:hint="eastAsia" w:ascii="方正楷体简体" w:hAnsi="方正楷体简体" w:eastAsia="方正楷体简体" w:cs="方正楷体简体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/>
          <w:bCs w:val="0"/>
          <w:color w:val="333333"/>
          <w:sz w:val="28"/>
          <w:szCs w:val="28"/>
          <w:shd w:val="clear" w:color="auto" w:fill="FFFFFF"/>
        </w:rPr>
        <w:t>部门职责：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结合县直机关党建工作实际，贯彻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执行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党的路线、方针、政策和县委的指示、决议；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按照县委的要求，围绕经济建设中心，制定县直机关党的建设规划，并督促检查落实。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指导县直基层党组织抓好党的思想、组织、作风建设和制度建设，做好党员管理教育工作，为经济建设提供思想、政治和组织保证；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按照党章和基层党组织选举工作暂行条例规定，负责审批县直机关党组织设置和党务干部；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指导县直基层党组织实施对党员特别是党员领导干部的监督，监督党员领导干部过好双重组织生活；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按照党章规定，做好新党员的发展工作，按照有关规定审议审批县级党员干部的违纪案件；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领导县直机关纪工委的工作；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必要时组织召开县直机关党的代表会议；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领导县直人民武装工作；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建立机关工委与县直各部门党组联席会议制度，交流工作情况，研究和改进机关党建工作；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执行县委交办的其它任务。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557" w:firstLineChars="198"/>
        <w:jc w:val="left"/>
        <w:rPr>
          <w:rFonts w:hint="eastAsia" w:ascii="楷体_GB2312" w:hAnsi="Arial" w:eastAsia="楷体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/>
          <w:bCs w:val="0"/>
          <w:color w:val="333333"/>
          <w:sz w:val="28"/>
          <w:szCs w:val="28"/>
          <w:shd w:val="clear" w:color="auto" w:fill="FFFFFF"/>
        </w:rPr>
        <w:t>机构设置</w:t>
      </w:r>
      <w:r>
        <w:rPr>
          <w:rFonts w:hint="eastAsia" w:ascii="黑体" w:hAnsi="黑体" w:eastAsia="黑体" w:cs="黑体"/>
          <w:kern w:val="2"/>
          <w:sz w:val="28"/>
          <w:szCs w:val="28"/>
          <w:lang w:bidi="ar-SA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jc w:val="center"/>
        <w:rPr>
          <w:rFonts w:hint="eastAsia" w:ascii="黑体" w:hAnsi="Arial" w:eastAsia="黑体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Arial" w:eastAsia="黑体" w:cs="仿宋_GB2312"/>
          <w:color w:val="333333"/>
          <w:sz w:val="30"/>
          <w:szCs w:val="30"/>
          <w:shd w:val="clear" w:color="auto" w:fill="FFFFFF"/>
          <w:lang w:bidi="ar-SA"/>
        </w:rPr>
        <w:t>文安县</w:t>
      </w:r>
      <w:r>
        <w:rPr>
          <w:rFonts w:hint="eastAsia" w:ascii="黑体" w:hAnsi="Arial" w:eastAsia="黑体" w:cs="仿宋_GB2312"/>
          <w:color w:val="333333"/>
          <w:sz w:val="30"/>
          <w:szCs w:val="30"/>
          <w:shd w:val="clear" w:color="auto" w:fill="FFFFFF"/>
          <w:lang w:eastAsia="zh-CN" w:bidi="ar-SA"/>
        </w:rPr>
        <w:t>县直工委</w:t>
      </w:r>
      <w:r>
        <w:rPr>
          <w:rFonts w:hint="eastAsia" w:ascii="黑体" w:hAnsi="Arial" w:eastAsia="黑体" w:cs="仿宋_GB2312"/>
          <w:color w:val="333333"/>
          <w:sz w:val="30"/>
          <w:szCs w:val="30"/>
          <w:shd w:val="clear" w:color="auto" w:fill="FFFFFF"/>
          <w:lang w:bidi="ar-SA"/>
        </w:rPr>
        <w:t>部门机构设置情况</w:t>
      </w:r>
    </w:p>
    <w:tbl>
      <w:tblPr>
        <w:tblStyle w:val="3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803"/>
        <w:gridCol w:w="1804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  <w:t>单位名称</w:t>
            </w:r>
          </w:p>
        </w:tc>
        <w:tc>
          <w:tcPr>
            <w:tcW w:w="180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  <w:t>单位性质</w:t>
            </w:r>
          </w:p>
        </w:tc>
        <w:tc>
          <w:tcPr>
            <w:tcW w:w="1804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  <w:t>单位规格</w:t>
            </w:r>
          </w:p>
        </w:tc>
        <w:tc>
          <w:tcPr>
            <w:tcW w:w="233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szCs w:val="24"/>
                <w:shd w:val="clear" w:color="auto" w:fill="FFFFFF"/>
                <w:lang w:bidi="ar-SA"/>
              </w:rPr>
              <w:t>经费保障形式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eastAsia="zh-CN" w:bidi="ar-SA"/>
              </w:rPr>
              <w:t>县直工委</w:t>
            </w:r>
          </w:p>
        </w:tc>
        <w:tc>
          <w:tcPr>
            <w:tcW w:w="180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bidi="ar-SA"/>
              </w:rPr>
              <w:t>行政</w:t>
            </w:r>
          </w:p>
        </w:tc>
        <w:tc>
          <w:tcPr>
            <w:tcW w:w="1804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eastAsia="zh-CN" w:bidi="ar-SA"/>
              </w:rPr>
            </w:pPr>
            <w:r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eastAsia="zh-CN" w:bidi="ar-SA"/>
              </w:rPr>
              <w:t>正科级</w:t>
            </w:r>
          </w:p>
        </w:tc>
        <w:tc>
          <w:tcPr>
            <w:tcW w:w="233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仿宋_GB2312" w:hAnsi="Arial" w:eastAsia="仿宋_GB2312" w:cs="Arial"/>
                <w:b w:val="0"/>
                <w:bCs/>
                <w:color w:val="333333"/>
                <w:szCs w:val="24"/>
                <w:shd w:val="clear" w:color="auto" w:fill="FFFFFF"/>
                <w:lang w:bidi="ar-SA"/>
              </w:rPr>
              <w:t>财政拨款</w:t>
            </w:r>
          </w:p>
        </w:tc>
      </w:tr>
    </w:tbl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二、部门决算报表（附表）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年度部门决算情况说明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（一）收入支出决算总体情况说明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2017年文安县直工委收入为123.32万元，较16年收入增加37.32万元。增加原因：主要因为工资上调导致人员经费增加；其中：上年结转结余0，财政拨款收入123.32万元（其中：政府性基金收入0万元），较16年收入增加37.32万元。增加原因：主要因为工资上调导致人员经费增加；经营收入0万元，事业收入0万元，上级补助收入0万元，其他收入0万元。财政拨款支出122.05万元，年末结转和结余1.28万元。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（二）收入决算情况说明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201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年度收入决算为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123.32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万元，全部为财政拨款收入。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（三）支出决算情况说明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201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年度支出决算为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122.05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万元，全部为财政拨款支出。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（四）财政拨款收入支出决算总体情况说明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201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年度财政拨款收入决算为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123.32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万元，其中：财政拨款收入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123.32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万元，上年结转结余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，财政拨款支出决算为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122.05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万元，全部为一般公共预算财政拨款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,较年初预算数增加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  <w:t>28.01万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元，增加原因：主要因为工资上调导致人员经费增加。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其中：基本支出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122.05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万元，包括：人员经费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113.68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万元和日常公用经费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8.37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万元；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（五）“三公”经费情况及增减变化原因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201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年度部门“三公”经费支出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1.2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 w:bidi="ar-SA"/>
        </w:rPr>
        <w:t>。与年初预算数持平，较上年决算数增加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1.2万元，主要因为2016年没有公务用车运行费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 w:bidi="ar-SA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（六）机关运行经费支出情况的说明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201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年度部门机关运行经费支出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8.37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万元，比201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年度增加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3.57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万元，原因是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 w:bidi="ar-SA"/>
        </w:rPr>
        <w:t>2017年度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办公用品和日常维修费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 w:bidi="ar-SA"/>
        </w:rPr>
        <w:t>增加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，造成机关运行经费支出有所增加。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（七）绩效预算管理工作开展情况说明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根据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 w:bidi="ar-SA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财政预算绩效管理要求，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 w:bidi="ar-SA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直工委部门以“部门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职责-工作活动”为依据，确定部门预算项目和预算额度，清晰描述预算项目开支范围和内容，确定预算项目的绩效目标、绩效指标和评价标准，为预算绩效控制、绩效分析、绩效评价打下好的基础。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（二）预算项目绩效评价开展情况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ind w:firstLine="627" w:firstLineChars="196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按照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 w:bidi="ar-SA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财政预算绩效管理要求，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 w:bidi="ar-SA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直工委部门对 2017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bidi="ar-SA"/>
        </w:rPr>
        <w:t>年初确定的部门一般公共预算支出项目全面开展了绩效自评。绩效自评覆盖率达到 100%。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602" w:lineRule="atLeast"/>
        <w:ind w:leftChars="0" w:right="0" w:rightChars="0"/>
        <w:jc w:val="left"/>
        <w:rPr>
          <w:rFonts w:hint="eastAsia" w:ascii="方正楷体简体" w:hAnsi="方正楷体简体" w:eastAsia="方正楷体简体" w:cs="方正楷体简体"/>
          <w:b w:val="0"/>
          <w:i w:val="0"/>
          <w:caps w:val="0"/>
          <w:color w:val="484747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 w:val="0"/>
          <w:i w:val="0"/>
          <w:caps w:val="0"/>
          <w:color w:val="484747"/>
          <w:spacing w:val="0"/>
          <w:kern w:val="0"/>
          <w:sz w:val="28"/>
          <w:szCs w:val="28"/>
          <w:shd w:val="clear" w:fill="FFFFFF"/>
          <w:lang w:val="en-US" w:eastAsia="zh-CN" w:bidi="ar"/>
        </w:rPr>
        <w:t>（八）无政府采购。</w:t>
      </w:r>
    </w:p>
    <w:p>
      <w:pPr>
        <w:autoSpaceDE w:val="0"/>
        <w:autoSpaceDN w:val="0"/>
        <w:adjustRightInd w:val="0"/>
        <w:spacing w:line="584" w:lineRule="atLeast"/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（九）国有资产信息</w:t>
      </w:r>
    </w:p>
    <w:p>
      <w:pPr>
        <w:autoSpaceDE w:val="0"/>
        <w:autoSpaceDN w:val="0"/>
        <w:adjustRightInd w:val="0"/>
        <w:spacing w:line="584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本部门国有资产占用总体情况是：2017年末部门资产合计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10.5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万元，其中：流动资产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万元，固定资产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10.5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万元。本年与上年相比，总资产增加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0.72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万元，其中：流动资产增加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主要原因是由于工作任务增加，购买了新电脑。我单位无项目资产。</w:t>
      </w:r>
      <w:bookmarkStart w:id="0" w:name="_GoBack"/>
      <w:bookmarkEnd w:id="0"/>
    </w:p>
    <w:p>
      <w:pPr>
        <w:autoSpaceDE w:val="0"/>
        <w:autoSpaceDN w:val="0"/>
        <w:adjustRightInd w:val="0"/>
        <w:spacing w:line="584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截至 2017 年 12 月 31 日，本部门共有车辆 1 辆，其中，市级领导干部用车 0 辆、一般公务用车 1 辆、一般执法执勤用车 0 辆、特种专业技术用车 0 辆；单位价值 50 万元以上大型设备 0 台（套），单位价值 100万元以上大型设备 0 台（套）</w:t>
      </w:r>
    </w:p>
    <w:p>
      <w:pPr>
        <w:autoSpaceDE w:val="0"/>
        <w:autoSpaceDN w:val="0"/>
        <w:adjustRightInd w:val="0"/>
        <w:spacing w:line="584" w:lineRule="atLeast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截至201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年12月31日，本部门共有车辆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辆，为一般公务用车；无单位价值50万元以上大型设备，无单位价值100万元以上大型设备。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602" w:lineRule="atLeast"/>
        <w:ind w:leftChars="0" w:right="0" w:rightChars="0"/>
        <w:jc w:val="left"/>
        <w:rPr>
          <w:rFonts w:hint="eastAsia" w:ascii="方正楷体简体" w:hAnsi="方正楷体简体" w:eastAsia="方正楷体简体" w:cs="方正楷体简体"/>
          <w:b w:val="0"/>
          <w:i w:val="0"/>
          <w:caps w:val="0"/>
          <w:color w:val="484747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 w:val="0"/>
          <w:i w:val="0"/>
          <w:caps w:val="0"/>
          <w:color w:val="484747"/>
          <w:spacing w:val="0"/>
          <w:kern w:val="0"/>
          <w:sz w:val="28"/>
          <w:szCs w:val="28"/>
          <w:shd w:val="clear" w:fill="FFFFFF"/>
          <w:lang w:val="en-US" w:eastAsia="zh-CN" w:bidi="ar"/>
        </w:rPr>
        <w:t>无其他重要事项情况说明。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602" w:lineRule="atLeast"/>
        <w:ind w:right="0" w:rightChars="0"/>
        <w:jc w:val="left"/>
        <w:rPr>
          <w:rFonts w:hint="eastAsia" w:ascii="仿宋" w:hAnsi="仿宋" w:eastAsia="仿宋" w:cs="仿宋"/>
          <w:b w:val="0"/>
          <w:i w:val="0"/>
          <w:caps w:val="0"/>
          <w:color w:val="484747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84747"/>
          <w:spacing w:val="0"/>
          <w:kern w:val="0"/>
          <w:sz w:val="32"/>
          <w:szCs w:val="32"/>
          <w:shd w:val="clear" w:fill="FFFFFF"/>
          <w:lang w:val="en-US" w:eastAsia="zh-CN" w:bidi="ar"/>
        </w:rPr>
        <w:t>无其他重要事项情况说明。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第四部分</w:t>
      </w:r>
      <w:r>
        <w:rPr>
          <w:rFonts w:ascii="黑体" w:hAnsi="黑体" w:eastAsia="黑体" w:cs="黑体"/>
          <w:b/>
          <w:color w:val="000000"/>
          <w:kern w:val="0"/>
          <w:sz w:val="32"/>
          <w:szCs w:val="32"/>
        </w:rPr>
        <w:t>、名词解释</w:t>
      </w:r>
    </w:p>
    <w:p>
      <w:pPr>
        <w:pStyle w:val="5"/>
        <w:ind w:firstLine="643" w:firstLineChars="200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、一般公共预算拨款收入：指县级财政当年拨付的资金。</w:t>
      </w:r>
    </w:p>
    <w:p>
      <w:pPr>
        <w:pStyle w:val="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 xml:space="preserve">    2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、基本支出：</w:t>
      </w:r>
      <w:r>
        <w:rPr>
          <w:rFonts w:hint="eastAsia" w:ascii="仿宋_GB2312" w:eastAsia="仿宋_GB2312"/>
          <w:color w:val="auto"/>
          <w:sz w:val="32"/>
          <w:szCs w:val="32"/>
        </w:rPr>
        <w:t>指为保障机构正常运转、完成日常工作任务而发生的人员支出和公用支出。</w:t>
      </w:r>
    </w:p>
    <w:p>
      <w:pPr>
        <w:pStyle w:val="5"/>
        <w:ind w:firstLine="643" w:firstLineChars="200"/>
        <w:rPr>
          <w:rFonts w:ascii="仿宋_GB2312" w:hAnsi="FZFangSong-Z02" w:eastAsia="仿宋_GB2312" w:cs="FZFangSong-Z0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“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三公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”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经费：纳入县级财政预算管理的</w:t>
      </w:r>
      <w:r>
        <w:rPr>
          <w:rFonts w:hint="eastAsia" w:ascii="仿宋_GB2312" w:eastAsia="仿宋_GB2312"/>
          <w:color w:val="auto"/>
          <w:sz w:val="32"/>
          <w:szCs w:val="32"/>
        </w:rPr>
        <w:t>“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三公</w:t>
      </w:r>
      <w:r>
        <w:rPr>
          <w:rFonts w:hint="eastAsia" w:ascii="仿宋_GB2312" w:eastAsia="仿宋_GB2312"/>
          <w:color w:val="auto"/>
          <w:sz w:val="32"/>
          <w:szCs w:val="32"/>
        </w:rPr>
        <w:t>”</w:t>
      </w:r>
      <w:r>
        <w:rPr>
          <w:rFonts w:hint="eastAsia" w:ascii="仿宋_GB2312" w:hAnsi="FZFangSong-Z02" w:eastAsia="仿宋_GB2312" w:cs="FZFangSong-Z02"/>
          <w:color w:val="auto"/>
          <w:sz w:val="32"/>
          <w:szCs w:val="32"/>
        </w:rPr>
        <w:t>经费，是指县级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rPr>
          <w:rFonts w:ascii="仿宋_GB2312" w:hAnsi="FZFangSong-Z02" w:eastAsia="仿宋_GB2312" w:cs="FZFangSong-Z0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FZFangSong-Z02" w:eastAsia="仿宋_GB2312" w:cs="FZFangSong-Z02"/>
          <w:sz w:val="32"/>
          <w:szCs w:val="32"/>
        </w:rPr>
        <w:t>、机关运行费：为保障行政单位（包括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</w:t>
      </w:r>
      <w:r>
        <w:rPr>
          <w:rFonts w:hint="eastAsia" w:ascii="仿宋_GB2312" w:eastAsia="仿宋_GB2312"/>
          <w:sz w:val="32"/>
          <w:szCs w:val="32"/>
        </w:rPr>
        <w:t>其他费用。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FangSong-Z0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4E60"/>
    <w:multiLevelType w:val="singleLevel"/>
    <w:tmpl w:val="59F44E60"/>
    <w:lvl w:ilvl="0" w:tentative="0">
      <w:start w:val="10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5499C"/>
    <w:rsid w:val="78193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小薇</cp:lastModifiedBy>
  <dcterms:modified xsi:type="dcterms:W3CDTF">2019-02-22T09:58:17Z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